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Dysfagie</w:t>
      </w:r>
    </w:p>
    <w:p w:rsidR="00000000" w:rsidDel="00000000" w:rsidP="00000000" w:rsidRDefault="00000000" w:rsidRPr="00000000" w14:paraId="00000002">
      <w:pPr>
        <w:jc w:val="both"/>
        <w:rPr>
          <w:highlight w:val="white"/>
          <w:u w:val="singl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poruchy </w:t>
      </w:r>
      <w:hyperlink r:id="rId6">
        <w:r w:rsidDel="00000000" w:rsidR="00000000" w:rsidRPr="00000000">
          <w:rPr>
            <w:highlight w:val="white"/>
            <w:rtl w:val="0"/>
          </w:rPr>
          <w:t xml:space="preserve">polykání</w:t>
        </w:r>
      </w:hyperlink>
      <w:r w:rsidDel="00000000" w:rsidR="00000000" w:rsidRPr="00000000">
        <w:rPr>
          <w:highlight w:val="white"/>
          <w:rtl w:val="0"/>
        </w:rPr>
        <w:t xml:space="preserve"> – jsou vedoucím příznakem nemocí a úrazů </w:t>
      </w:r>
      <w:hyperlink r:id="rId7">
        <w:r w:rsidDel="00000000" w:rsidR="00000000" w:rsidRPr="00000000">
          <w:rPr>
            <w:highlight w:val="white"/>
            <w:rtl w:val="0"/>
          </w:rPr>
          <w:t xml:space="preserve">jazyka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8">
        <w:r w:rsidDel="00000000" w:rsidR="00000000" w:rsidRPr="00000000">
          <w:rPr>
            <w:highlight w:val="white"/>
            <w:rtl w:val="0"/>
          </w:rPr>
          <w:t xml:space="preserve">hltanu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u w:val="single"/>
          <w:rtl w:val="0"/>
        </w:rPr>
        <w:t xml:space="preserve">(orofaryngeální dysfagie)</w:t>
      </w:r>
      <w:r w:rsidDel="00000000" w:rsidR="00000000" w:rsidRPr="00000000">
        <w:rPr>
          <w:highlight w:val="white"/>
          <w:rtl w:val="0"/>
        </w:rPr>
        <w:t xml:space="preserve"> a </w:t>
      </w:r>
      <w:hyperlink r:id="rId9">
        <w:r w:rsidDel="00000000" w:rsidR="00000000" w:rsidRPr="00000000">
          <w:rPr>
            <w:highlight w:val="white"/>
            <w:rtl w:val="0"/>
          </w:rPr>
          <w:t xml:space="preserve">jícnu</w:t>
        </w:r>
      </w:hyperlink>
      <w:r w:rsidDel="00000000" w:rsidR="00000000" w:rsidRPr="00000000">
        <w:rPr>
          <w:highlight w:val="white"/>
          <w:rtl w:val="0"/>
        </w:rPr>
        <w:t xml:space="preserve"> </w:t>
      </w:r>
      <w:r w:rsidDel="00000000" w:rsidR="00000000" w:rsidRPr="00000000">
        <w:rPr>
          <w:highlight w:val="white"/>
          <w:u w:val="single"/>
          <w:rtl w:val="0"/>
        </w:rPr>
        <w:t xml:space="preserve">(ezofageální dysfagie).</w:t>
      </w:r>
    </w:p>
    <w:p w:rsidR="00000000" w:rsidDel="00000000" w:rsidP="00000000" w:rsidRDefault="00000000" w:rsidRPr="00000000" w14:paraId="00000003">
      <w:pPr>
        <w:jc w:val="both"/>
        <w:rPr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b w:val="1"/>
          <w:highlight w:val="white"/>
          <w:u w:val="single"/>
        </w:rPr>
      </w:pPr>
      <w:r w:rsidDel="00000000" w:rsidR="00000000" w:rsidRPr="00000000">
        <w:rPr>
          <w:b w:val="1"/>
          <w:highlight w:val="white"/>
          <w:u w:val="single"/>
          <w:rtl w:val="0"/>
        </w:rPr>
        <w:t xml:space="preserve">Dělení:</w:t>
      </w:r>
    </w:p>
    <w:p w:rsidR="00000000" w:rsidDel="00000000" w:rsidP="00000000" w:rsidRDefault="00000000" w:rsidRPr="00000000" w14:paraId="00000005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Odynofagie</w:t>
      </w:r>
      <w:r w:rsidDel="00000000" w:rsidR="00000000" w:rsidRPr="00000000">
        <w:rPr>
          <w:highlight w:val="white"/>
          <w:rtl w:val="0"/>
        </w:rPr>
        <w:t xml:space="preserve"> = </w:t>
      </w:r>
      <w:r w:rsidDel="00000000" w:rsidR="00000000" w:rsidRPr="00000000">
        <w:rPr>
          <w:highlight w:val="white"/>
          <w:rtl w:val="0"/>
        </w:rPr>
        <w:t xml:space="preserve">bolestivé polykání</w:t>
      </w:r>
      <w:r w:rsidDel="00000000" w:rsidR="00000000" w:rsidRPr="00000000">
        <w:rPr>
          <w:highlight w:val="white"/>
          <w:rtl w:val="0"/>
        </w:rPr>
        <w:t xml:space="preserve"> je podmíněna záněty, nádory nebo cizími tělesy. Bolesti jsou </w:t>
      </w:r>
      <w:r w:rsidDel="00000000" w:rsidR="00000000" w:rsidRPr="00000000">
        <w:rPr>
          <w:highlight w:val="white"/>
          <w:rtl w:val="0"/>
        </w:rPr>
        <w:t xml:space="preserve">stupňovány</w:t>
      </w:r>
      <w:r w:rsidDel="00000000" w:rsidR="00000000" w:rsidRPr="00000000">
        <w:rPr>
          <w:highlight w:val="white"/>
          <w:rtl w:val="0"/>
        </w:rPr>
        <w:t xml:space="preserve"> polykáním. Při postižení hltanu a hrtanu často vystřelují do </w:t>
      </w:r>
      <w:hyperlink r:id="rId10">
        <w:r w:rsidDel="00000000" w:rsidR="00000000" w:rsidRPr="00000000">
          <w:rPr>
            <w:highlight w:val="white"/>
            <w:rtl w:val="0"/>
          </w:rPr>
          <w:t xml:space="preserve">ucha</w:t>
        </w:r>
      </w:hyperlink>
      <w:r w:rsidDel="00000000" w:rsidR="00000000" w:rsidRPr="00000000">
        <w:rPr>
          <w:highlight w:val="white"/>
          <w:rtl w:val="0"/>
        </w:rPr>
        <w:t xml:space="preserve"> (společná inervace). U jícnu postižený popisuje tlakovou a svíravou bolest, často i pyrózu. Pokusy o polknutí mohou být spojeny s dávením a aspirací. Postižení často slintají, huhňají.</w:t>
      </w:r>
    </w:p>
    <w:p w:rsidR="00000000" w:rsidDel="00000000" w:rsidP="00000000" w:rsidRDefault="00000000" w:rsidRPr="00000000" w14:paraId="00000006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Mechanická dysfagie</w:t>
      </w:r>
      <w:r w:rsidDel="00000000" w:rsidR="00000000" w:rsidRPr="00000000">
        <w:rPr>
          <w:highlight w:val="white"/>
          <w:rtl w:val="0"/>
        </w:rPr>
        <w:t xml:space="preserve"> = je vyjádřena váznutím sousta. Příčiny mohou být </w:t>
      </w:r>
      <w:r w:rsidDel="00000000" w:rsidR="00000000" w:rsidRPr="00000000">
        <w:rPr>
          <w:highlight w:val="white"/>
          <w:u w:val="single"/>
          <w:rtl w:val="0"/>
        </w:rPr>
        <w:t xml:space="preserve">neurogenní, myogenní a obstrukční.</w:t>
      </w:r>
      <w:r w:rsidDel="00000000" w:rsidR="00000000" w:rsidRPr="00000000">
        <w:rPr>
          <w:highlight w:val="white"/>
          <w:rtl w:val="0"/>
        </w:rPr>
        <w:t xml:space="preserve"> Provázena říháním, dávením, regurgitací, zvracením, foetor ex ore.</w:t>
      </w:r>
    </w:p>
    <w:p w:rsidR="00000000" w:rsidDel="00000000" w:rsidP="00000000" w:rsidRDefault="00000000" w:rsidRPr="00000000" w14:paraId="00000007">
      <w:pPr>
        <w:jc w:val="both"/>
        <w:rPr>
          <w:highlight w:val="white"/>
        </w:rPr>
      </w:pPr>
      <w:r w:rsidDel="00000000" w:rsidR="00000000" w:rsidRPr="00000000">
        <w:rPr>
          <w:b w:val="1"/>
          <w:highlight w:val="white"/>
          <w:rtl w:val="0"/>
        </w:rPr>
        <w:t xml:space="preserve">- Neuromuskulární dysfagie</w:t>
      </w:r>
      <w:r w:rsidDel="00000000" w:rsidR="00000000" w:rsidRPr="00000000">
        <w:rPr>
          <w:highlight w:val="white"/>
          <w:rtl w:val="0"/>
        </w:rPr>
        <w:t xml:space="preserve"> =  v jícnu jsou v popředí lokalizované poruchy peristaltiky, spasmy a atonie. Např.: </w:t>
      </w:r>
      <w:hyperlink r:id="rId11">
        <w:r w:rsidDel="00000000" w:rsidR="00000000" w:rsidRPr="00000000">
          <w:rPr>
            <w:highlight w:val="white"/>
            <w:rtl w:val="0"/>
          </w:rPr>
          <w:t xml:space="preserve">Parkinson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2">
        <w:r w:rsidDel="00000000" w:rsidR="00000000" w:rsidRPr="00000000">
          <w:rPr>
            <w:highlight w:val="white"/>
            <w:rtl w:val="0"/>
          </w:rPr>
          <w:t xml:space="preserve">RS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3">
        <w:r w:rsidDel="00000000" w:rsidR="00000000" w:rsidRPr="00000000">
          <w:rPr>
            <w:highlight w:val="white"/>
            <w:rtl w:val="0"/>
          </w:rPr>
          <w:t xml:space="preserve">bulbární léze</w:t>
        </w:r>
      </w:hyperlink>
      <w:r w:rsidDel="00000000" w:rsidR="00000000" w:rsidRPr="00000000">
        <w:rPr>
          <w:highlight w:val="white"/>
          <w:rtl w:val="0"/>
        </w:rPr>
        <w:t xml:space="preserve">, </w:t>
      </w:r>
      <w:hyperlink r:id="rId14">
        <w:r w:rsidDel="00000000" w:rsidR="00000000" w:rsidRPr="00000000">
          <w:rPr>
            <w:highlight w:val="white"/>
            <w:rtl w:val="0"/>
          </w:rPr>
          <w:t xml:space="preserve">diabetická neuropatie</w:t>
        </w:r>
      </w:hyperlink>
      <w:r w:rsidDel="00000000" w:rsidR="00000000" w:rsidRPr="00000000">
        <w:rPr>
          <w:highlight w:val="white"/>
          <w:rtl w:val="0"/>
        </w:rPr>
        <w:t xml:space="preserve">, myozitidy, svalové </w:t>
      </w:r>
      <w:hyperlink r:id="rId15">
        <w:r w:rsidDel="00000000" w:rsidR="00000000" w:rsidRPr="00000000">
          <w:rPr>
            <w:highlight w:val="white"/>
            <w:rtl w:val="0"/>
          </w:rPr>
          <w:t xml:space="preserve">dystrofie</w:t>
        </w:r>
      </w:hyperlink>
      <w:r w:rsidDel="00000000" w:rsidR="00000000" w:rsidRPr="00000000">
        <w:rPr>
          <w:highlight w:val="white"/>
          <w:rtl w:val="0"/>
        </w:rPr>
        <w:t xml:space="preserve">. 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Škytavka</w:t>
      </w:r>
    </w:p>
    <w:p w:rsidR="00000000" w:rsidDel="00000000" w:rsidP="00000000" w:rsidRDefault="00000000" w:rsidRPr="00000000" w14:paraId="0000000A">
      <w:pPr>
        <w:jc w:val="both"/>
        <w:rPr/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rtl w:val="0"/>
        </w:rPr>
        <w:t xml:space="preserve">Reflexivní stahy bránice spojené s rychlým a prudkým nádechem, zvuk vzniká při prudkém nasátí vzduchu do plic a současným uzávěrem hlasivek.</w:t>
      </w:r>
    </w:p>
    <w:p w:rsidR="00000000" w:rsidDel="00000000" w:rsidP="00000000" w:rsidRDefault="00000000" w:rsidRPr="00000000" w14:paraId="0000000B">
      <w:pPr>
        <w:jc w:val="both"/>
        <w:rPr/>
      </w:pPr>
      <w:r w:rsidDel="00000000" w:rsidR="00000000" w:rsidRPr="00000000">
        <w:rPr>
          <w:rtl w:val="0"/>
        </w:rPr>
        <w:t xml:space="preserve">- Mozkové centrum pro tento reflex je v míše, signály jsou vedeny cestou nervus phrenicus a nervus vagus. </w:t>
      </w:r>
    </w:p>
    <w:p w:rsidR="00000000" w:rsidDel="00000000" w:rsidP="00000000" w:rsidRDefault="00000000" w:rsidRPr="00000000" w14:paraId="0000000C">
      <w:pPr>
        <w:jc w:val="both"/>
        <w:rPr/>
      </w:pPr>
      <w:r w:rsidDel="00000000" w:rsidR="00000000" w:rsidRPr="00000000">
        <w:rPr>
          <w:rtl w:val="0"/>
        </w:rPr>
        <w:t xml:space="preserve">- Nervus phrenicus - z mozkového kmene, prostorem hrudníku v blízkosti jícnu, srdce a plic až k bránici - narušení kterékoliv části této nervové dráhy může vyvolat škytání.</w:t>
      </w:r>
    </w:p>
    <w:p w:rsidR="00000000" w:rsidDel="00000000" w:rsidP="00000000" w:rsidRDefault="00000000" w:rsidRPr="00000000" w14:paraId="0000000D">
      <w:pPr>
        <w:jc w:val="both"/>
        <w:rPr/>
      </w:pPr>
      <w:r w:rsidDel="00000000" w:rsidR="00000000" w:rsidRPr="00000000">
        <w:rPr>
          <w:rtl w:val="0"/>
        </w:rPr>
        <w:t xml:space="preserve">- Gastrointestinální etiologie až 75 % případů, nutné vyloučit také toxickou, metabolickou či infekční příčinu. </w:t>
      </w:r>
    </w:p>
    <w:p w:rsidR="00000000" w:rsidDel="00000000" w:rsidP="00000000" w:rsidRDefault="00000000" w:rsidRPr="00000000" w14:paraId="0000000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Klasifikace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1) </w:t>
      </w:r>
      <w:r w:rsidDel="00000000" w:rsidR="00000000" w:rsidRPr="00000000">
        <w:rPr>
          <w:b w:val="1"/>
          <w:u w:val="single"/>
          <w:rtl w:val="0"/>
        </w:rPr>
        <w:t xml:space="preserve">Nezávažné</w:t>
      </w:r>
      <w:r w:rsidDel="00000000" w:rsidR="00000000" w:rsidRPr="00000000">
        <w:rPr>
          <w:rtl w:val="0"/>
        </w:rPr>
        <w:t xml:space="preserve"> - </w:t>
      </w:r>
      <w:r w:rsidDel="00000000" w:rsidR="00000000" w:rsidRPr="00000000">
        <w:rPr>
          <w:rtl w:val="0"/>
        </w:rPr>
        <w:t xml:space="preserve">akutní záchvaty škytání krátkého trvání.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Nejčastěji distenze jícnu a žaludku, příjem sycených tekutin, případně podráždějí trávicího traktu kořením.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u w:val="single"/>
          <w:rtl w:val="0"/>
        </w:rPr>
        <w:t xml:space="preserve">2) Závažné </w:t>
      </w:r>
      <w:r w:rsidDel="00000000" w:rsidR="00000000" w:rsidRPr="00000000">
        <w:rPr>
          <w:rtl w:val="0"/>
        </w:rPr>
        <w:t xml:space="preserve">- škytavka nemizí a stává se z ní chronický problém. 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</w:t>
      </w:r>
      <w:r w:rsidDel="00000000" w:rsidR="00000000" w:rsidRPr="00000000">
        <w:rPr>
          <w:b w:val="1"/>
          <w:rtl w:val="0"/>
        </w:rPr>
        <w:t xml:space="preserve">Onemocnění plic a mediastina</w:t>
      </w:r>
      <w:r w:rsidDel="00000000" w:rsidR="00000000" w:rsidRPr="00000000">
        <w:rPr>
          <w:rtl w:val="0"/>
        </w:rPr>
        <w:t xml:space="preserve"> – patologické nitrohrudní procesy (pneumonie, tumory plic, mediastinitidy a tumory mediastina).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Onemocnění jícnu</w:t>
      </w:r>
      <w:r w:rsidDel="00000000" w:rsidR="00000000" w:rsidRPr="00000000">
        <w:rPr>
          <w:rtl w:val="0"/>
        </w:rPr>
        <w:t xml:space="preserve"> – obstrukce jícnu tuhým soustem, nádory a ezofagitidy.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Onemocnění srdce</w:t>
      </w:r>
      <w:r w:rsidDel="00000000" w:rsidR="00000000" w:rsidRPr="00000000">
        <w:rPr>
          <w:rtl w:val="0"/>
        </w:rPr>
        <w:t xml:space="preserve"> – při perikarditidách, u infarktu myokardu.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Onemocnění dutiny břišní</w:t>
      </w:r>
      <w:r w:rsidDel="00000000" w:rsidR="00000000" w:rsidRPr="00000000">
        <w:rPr>
          <w:rtl w:val="0"/>
        </w:rPr>
        <w:t xml:space="preserve"> – ileózní stavy, peritonitidy, tumory žaludku, tumory a metastázy jater, abscesy jater, pankreatitidy a tumory pankreatu.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Metabolické příčiny</w:t>
      </w:r>
      <w:r w:rsidDel="00000000" w:rsidR="00000000" w:rsidRPr="00000000">
        <w:rPr>
          <w:rtl w:val="0"/>
        </w:rPr>
        <w:t xml:space="preserve"> – při uremii, při poruchách acidobazické rovnováhy, u minerálové dysbalance (především hyponatremie) a u dekompenzace diabetu.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Postižení CNS</w:t>
      </w:r>
      <w:r w:rsidDel="00000000" w:rsidR="00000000" w:rsidRPr="00000000">
        <w:rPr>
          <w:rtl w:val="0"/>
        </w:rPr>
        <w:t xml:space="preserve"> – postižení centra pro singultus v míše, následek CMP, mozkových tumorů, meningoencefalitid, toxického účinku alkoholu a psychiatrických stavů.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Etiologie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Emoce</w:t>
      </w:r>
      <w:r w:rsidDel="00000000" w:rsidR="00000000" w:rsidRPr="00000000">
        <w:rPr>
          <w:rtl w:val="0"/>
        </w:rPr>
        <w:t xml:space="preserve"> – ovlivněním nervových center, bez ohledu na charakter emoce.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Roztažení žaludku –</w:t>
      </w:r>
      <w:r w:rsidDel="00000000" w:rsidR="00000000" w:rsidRPr="00000000">
        <w:rPr>
          <w:rtl w:val="0"/>
        </w:rPr>
        <w:t xml:space="preserve"> podráždění bránice, asi nejčastější příčina, hltání, perlivé nápoje.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Přímé podráždění bráničního nervu </w:t>
      </w:r>
      <w:r w:rsidDel="00000000" w:rsidR="00000000" w:rsidRPr="00000000">
        <w:rPr>
          <w:rtl w:val="0"/>
        </w:rPr>
        <w:t xml:space="preserve">– perikarditida, pneumonie, tumory plic, jícnu aj.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Vliv léků a jiných sloučenin –</w:t>
      </w:r>
      <w:r w:rsidDel="00000000" w:rsidR="00000000" w:rsidRPr="00000000">
        <w:rPr>
          <w:rtl w:val="0"/>
        </w:rPr>
        <w:t xml:space="preserve"> vliv alkoholu, některá analgetika, antiepileptika.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Rozvrat vnitřního prostředí </w:t>
      </w:r>
      <w:r w:rsidDel="00000000" w:rsidR="00000000" w:rsidRPr="00000000">
        <w:rPr>
          <w:rtl w:val="0"/>
        </w:rPr>
        <w:t xml:space="preserve">– dráždění CNS, odchylky minerály, hromadění toxických produktů.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b w:val="1"/>
          <w:rtl w:val="0"/>
        </w:rPr>
        <w:t xml:space="preserve">- Poškození mozku </w:t>
      </w:r>
      <w:r w:rsidDel="00000000" w:rsidR="00000000" w:rsidRPr="00000000">
        <w:rPr>
          <w:rtl w:val="0"/>
        </w:rPr>
        <w:t xml:space="preserve">– poškození mozkového kmene (centra ovládající n. phrenicus), iCMP, </w:t>
      </w:r>
      <w:r w:rsidDel="00000000" w:rsidR="00000000" w:rsidRPr="00000000">
        <w:rPr>
          <w:rtl w:val="0"/>
        </w:rPr>
        <w:t xml:space="preserve">hCMP</w:t>
      </w:r>
      <w:r w:rsidDel="00000000" w:rsidR="00000000" w:rsidRPr="00000000">
        <w:rPr>
          <w:rtl w:val="0"/>
        </w:rPr>
        <w:t xml:space="preserve">, tumor, záněty, RS.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V</w:t>
      </w:r>
      <w:r w:rsidDel="00000000" w:rsidR="00000000" w:rsidRPr="00000000">
        <w:rPr>
          <w:rtl w:val="0"/>
        </w:rPr>
        <w:t xml:space="preserve">ápníková myorelaxancia (baclofen).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Antikonvulziva (gabapentin, valproát, karbamazepin).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Antipsychotika (chlorpromazin, haloperidol).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Prokinetika (metoclopramid).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Blokátory kalciových kanálů (nimodipin).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5.99999999999994" w:lineRule="auto"/>
        <w:ind w:left="0" w:firstLine="0"/>
        <w:jc w:val="both"/>
        <w:rPr/>
      </w:pPr>
      <w:r w:rsidDel="00000000" w:rsidR="00000000" w:rsidRPr="00000000">
        <w:rPr>
          <w:rtl w:val="0"/>
        </w:rPr>
        <w:t xml:space="preserve">- Haloperidol aplikován 1-3x denně v dávce 1-4 mg v závislosti na dosaženém efektu, kdy manifestace nežádoucích účinků, jako je prodloužení QT-intervalu, hyperprolaktinémie nebo parkinsonský syndrom, není častá.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center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Pyróza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rtl w:val="0"/>
        </w:rPr>
        <w:t xml:space="preserve">= </w:t>
      </w:r>
      <w:r w:rsidDel="00000000" w:rsidR="00000000" w:rsidRPr="00000000">
        <w:rPr>
          <w:highlight w:val="white"/>
          <w:rtl w:val="0"/>
        </w:rPr>
        <w:t xml:space="preserve">Pyróza (neboli pálení žáhy) je nepříjemný pocit pálení či bolesti za hrudní kostí vyzařující z epigastria směrem do krku, který je spojený s návratem kyselého obsahu ze žaludku do jícnu. Je nejčastějším příznakem refluxní choroby jícnu. Dále eozinofilní ezofagitida, funkční potíže bez zjištění objektivní příčiny.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line="331.2" w:lineRule="auto"/>
        <w:jc w:val="both"/>
        <w:rPr>
          <w:highlight w:val="white"/>
        </w:rPr>
      </w:pPr>
      <w:r w:rsidDel="00000000" w:rsidR="00000000" w:rsidRPr="00000000">
        <w:rPr>
          <w:highlight w:val="white"/>
          <w:rtl w:val="0"/>
        </w:rPr>
        <w:t xml:space="preserve">- </w:t>
      </w:r>
      <w:r w:rsidDel="00000000" w:rsidR="00000000" w:rsidRPr="00000000">
        <w:rPr>
          <w:highlight w:val="white"/>
          <w:rtl w:val="0"/>
        </w:rPr>
        <w:t xml:space="preserve">Vyskytuje se nebo zhoršuje hlavně po mastném, kořeněném, sladkém, kynutém jídle, nebo po požití čokolády, cibule a česneku.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jc w:val="both"/>
        <w:rPr>
          <w:b w:val="1"/>
          <w:u w:val="single"/>
        </w:rPr>
      </w:pPr>
      <w:r w:rsidDel="00000000" w:rsidR="00000000" w:rsidRPr="00000000">
        <w:rPr>
          <w:b w:val="1"/>
          <w:u w:val="single"/>
          <w:rtl w:val="0"/>
        </w:rPr>
        <w:t xml:space="preserve">Terapie</w:t>
      </w:r>
    </w:p>
    <w:p w:rsidR="00000000" w:rsidDel="00000000" w:rsidP="00000000" w:rsidRDefault="00000000" w:rsidRPr="00000000" w14:paraId="00000030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1) Dietní opatření</w:t>
      </w:r>
    </w:p>
    <w:p w:rsidR="00000000" w:rsidDel="00000000" w:rsidP="00000000" w:rsidRDefault="00000000" w:rsidRPr="00000000" w14:paraId="00000031">
      <w:pPr>
        <w:jc w:val="both"/>
        <w:rPr/>
      </w:pPr>
      <w:r w:rsidDel="00000000" w:rsidR="00000000" w:rsidRPr="00000000">
        <w:rPr>
          <w:b w:val="1"/>
          <w:rtl w:val="0"/>
        </w:rPr>
        <w:t xml:space="preserve">2) Režimová opatření </w:t>
      </w:r>
      <w:r w:rsidDel="00000000" w:rsidR="00000000" w:rsidRPr="00000000">
        <w:rPr>
          <w:rtl w:val="0"/>
        </w:rPr>
        <w:t xml:space="preserve">- jídlo rozvrhnout do 5-6 menších porcí ( nejhorší je hlavní velké jídlo večer po prakticky celodenním lačnění). Zachování intervalu mezi posledním jídlem a ulehnutím či prací v předklonu alespoň tři hodiny i více, k dostatečnému vyprázdnění žaludku. Redukce hmotnosti a omezení kouření a kávy. U nemocných s převažující noční regurgitací zvýšená poloha horní části postele.</w:t>
      </w:r>
    </w:p>
    <w:p w:rsidR="00000000" w:rsidDel="00000000" w:rsidP="00000000" w:rsidRDefault="00000000" w:rsidRPr="00000000" w14:paraId="00000032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3) Medikamentózní terapie</w:t>
      </w:r>
    </w:p>
    <w:p w:rsidR="00000000" w:rsidDel="00000000" w:rsidP="00000000" w:rsidRDefault="00000000" w:rsidRPr="00000000" w14:paraId="00000033">
      <w:pPr>
        <w:numPr>
          <w:ilvl w:val="0"/>
          <w:numId w:val="2"/>
        </w:numPr>
        <w:ind w:left="720" w:hanging="360"/>
        <w:jc w:val="both"/>
      </w:pPr>
      <w:r w:rsidDel="00000000" w:rsidR="00000000" w:rsidRPr="00000000">
        <w:rPr>
          <w:u w:val="single"/>
          <w:rtl w:val="0"/>
        </w:rPr>
        <w:t xml:space="preserve">Antacida</w:t>
      </w:r>
      <w:r w:rsidDel="00000000" w:rsidR="00000000" w:rsidRPr="00000000">
        <w:rPr>
          <w:rtl w:val="0"/>
        </w:rPr>
        <w:t xml:space="preserve"> (u mírných forem refluxu, hlavně po dietní chybě) - volně dostupná, vedou ke krátkodobé symptomatické úlevě bez prevence recidiv potíží a bez zlepšení slizničního nálezu v jícnu.  Např. hydroxidu aluminia a magnézia nebo bikarbonát s alginátem.</w:t>
      </w:r>
    </w:p>
    <w:p w:rsidR="00000000" w:rsidDel="00000000" w:rsidP="00000000" w:rsidRDefault="00000000" w:rsidRPr="00000000" w14:paraId="00000034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u w:val="single"/>
          <w:rtl w:val="0"/>
        </w:rPr>
        <w:t xml:space="preserve">IPP</w:t>
      </w:r>
      <w:r w:rsidDel="00000000" w:rsidR="00000000" w:rsidRPr="00000000">
        <w:rPr>
          <w:rtl w:val="0"/>
        </w:rPr>
        <w:t xml:space="preserve"> - terapie systémem „step down“ tzn. začít s nejefektivnějšími léky k vyhojení esofagitidy a úlevě obtíží s následným pozvolným snižováním dávky v udržovací léčbě. Refluxní esofagitida - 2×20 mg omeprazol, 2×30 mg lanzoprazol, 1–2×40 mg pantoprazol) po 4–8 týdnů s následným podáváním 1× denně. Neerozivní refluxní nemoci se řídíme symptomy - jedna denní dávka ráno (20 mg omeprazol, 30 mg lanzoprazol nebo 40 mg pantoprazol) po dobu 4–6 týdnů s následným snížením dle potíží. IPP - zvýšená pozornost u žen s rizikem rozvoje osteoporózy a ui pacientů s infekcí H. pylori.</w:t>
      </w:r>
    </w:p>
    <w:p w:rsidR="00000000" w:rsidDel="00000000" w:rsidP="00000000" w:rsidRDefault="00000000" w:rsidRPr="00000000" w14:paraId="00000035">
      <w:pPr>
        <w:numPr>
          <w:ilvl w:val="0"/>
          <w:numId w:val="3"/>
        </w:numPr>
        <w:ind w:left="720" w:hanging="360"/>
        <w:jc w:val="both"/>
      </w:pPr>
      <w:r w:rsidDel="00000000" w:rsidR="00000000" w:rsidRPr="00000000">
        <w:rPr>
          <w:u w:val="single"/>
          <w:rtl w:val="0"/>
        </w:rPr>
        <w:t xml:space="preserve">Antagonické H2-receptory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- (ranitidin, famotidin) je limitováno jejich menší účinností a rizikem poklesu efektu při delším podávání vlivem tachyfylaxe.</w:t>
      </w:r>
    </w:p>
    <w:p w:rsidR="00000000" w:rsidDel="00000000" w:rsidP="00000000" w:rsidRDefault="00000000" w:rsidRPr="00000000" w14:paraId="00000036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4) Chirurgická terapie</w:t>
      </w:r>
    </w:p>
    <w:p w:rsidR="00000000" w:rsidDel="00000000" w:rsidP="00000000" w:rsidRDefault="00000000" w:rsidRPr="00000000" w14:paraId="00000037">
      <w:pPr>
        <w:numPr>
          <w:ilvl w:val="0"/>
          <w:numId w:val="1"/>
        </w:numPr>
        <w:ind w:left="720" w:hanging="360"/>
        <w:jc w:val="both"/>
      </w:pPr>
      <w:r w:rsidDel="00000000" w:rsidR="00000000" w:rsidRPr="00000000">
        <w:rPr>
          <w:rtl w:val="0"/>
        </w:rPr>
        <w:t xml:space="preserve">U nemocných s nedostatečným efektem farmakoterapie, přetrvávajících regurgitacích a extraezofageálních příznacích a při kombinaci s anatomickými abnormalitami nejčastěji větší hiátovou hernií.</w:t>
      </w:r>
    </w:p>
    <w:p w:rsidR="00000000" w:rsidDel="00000000" w:rsidP="00000000" w:rsidRDefault="00000000" w:rsidRPr="00000000" w14:paraId="00000038">
      <w:pPr>
        <w:rPr/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www.wikiskripta.eu/w/Parkinsonsk%C3%BD_syndrom" TargetMode="External"/><Relationship Id="rId10" Type="http://schemas.openxmlformats.org/officeDocument/2006/relationships/hyperlink" Target="https://www.wikiskripta.eu/w/Ucho" TargetMode="External"/><Relationship Id="rId13" Type="http://schemas.openxmlformats.org/officeDocument/2006/relationships/hyperlink" Target="https://www.wikiskripta.eu/w/Bulb%C3%A1rn%C3%AD_syndrom" TargetMode="External"/><Relationship Id="rId12" Type="http://schemas.openxmlformats.org/officeDocument/2006/relationships/hyperlink" Target="https://www.wikiskripta.eu/w/Roztrou%C5%A1en%C3%A1_skler%C3%B3za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ikiskripta.eu/w/Oesophagus" TargetMode="External"/><Relationship Id="rId15" Type="http://schemas.openxmlformats.org/officeDocument/2006/relationships/hyperlink" Target="https://www.wikiskripta.eu/w/Dystrofie" TargetMode="External"/><Relationship Id="rId14" Type="http://schemas.openxmlformats.org/officeDocument/2006/relationships/hyperlink" Target="https://www.wikiskripta.eu/w/Diabetick%C3%A1_neuropatie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wikiskripta.eu/w/Polyk%C3%A1n%C3%AD" TargetMode="External"/><Relationship Id="rId7" Type="http://schemas.openxmlformats.org/officeDocument/2006/relationships/hyperlink" Target="https://www.wikiskripta.eu/w/Jazyk" TargetMode="External"/><Relationship Id="rId8" Type="http://schemas.openxmlformats.org/officeDocument/2006/relationships/hyperlink" Target="https://www.wikiskripta.eu/w/Hlta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